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700"/>
        </w:tabs>
        <w:spacing w:lineRule="exact" w:line="36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上海海事大学2024</w:t>
      </w:r>
      <w:r>
        <w:rPr>
          <w:rFonts w:ascii="宋体" w:hAnsi="宋体" w:hint="eastAsia"/>
          <w:b/>
          <w:bCs/>
          <w:sz w:val="32"/>
          <w:szCs w:val="32"/>
          <w:lang w:val="en-US" w:eastAsia="zh-CN"/>
        </w:rPr>
        <w:t>年度专任</w:t>
      </w:r>
      <w:r>
        <w:rPr>
          <w:rFonts w:ascii="宋体" w:hAnsi="宋体" w:hint="eastAsia"/>
          <w:b/>
          <w:bCs/>
          <w:sz w:val="32"/>
          <w:szCs w:val="32"/>
        </w:rPr>
        <w:t>教师招聘计划</w:t>
      </w:r>
    </w:p>
    <w:p>
      <w:pPr>
        <w:pStyle w:val="style0"/>
        <w:tabs>
          <w:tab w:val="left" w:leader="none" w:pos="2700"/>
        </w:tabs>
        <w:spacing w:lineRule="exact" w:line="360"/>
        <w:jc w:val="left"/>
        <w:rPr>
          <w:rFonts w:ascii="宋体" w:hAnsi="宋体"/>
          <w:bCs/>
          <w:szCs w:val="21"/>
        </w:rPr>
      </w:pPr>
    </w:p>
    <w:p>
      <w:pPr>
        <w:pStyle w:val="style0"/>
        <w:tabs>
          <w:tab w:val="left" w:leader="none" w:pos="2700"/>
        </w:tabs>
        <w:spacing w:lineRule="exact" w:line="36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1．学历学位要求：博士研究生（特殊说明除外）；</w:t>
      </w:r>
    </w:p>
    <w:p>
      <w:pPr>
        <w:pStyle w:val="style0"/>
        <w:tabs>
          <w:tab w:val="left" w:leader="none" w:pos="2700"/>
        </w:tabs>
        <w:spacing w:lineRule="exact" w:line="36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2．年龄要求：一般教师原则上在35周岁及以下，副教授原则上在4</w:t>
      </w:r>
      <w:r>
        <w:rPr>
          <w:rFonts w:ascii="宋体" w:hAnsi="宋体"/>
          <w:bCs/>
          <w:szCs w:val="21"/>
        </w:rPr>
        <w:t>0</w:t>
      </w:r>
      <w:r>
        <w:rPr>
          <w:rFonts w:ascii="宋体" w:hAnsi="宋体" w:hint="eastAsia"/>
          <w:bCs/>
          <w:szCs w:val="21"/>
        </w:rPr>
        <w:t>周岁及以下，教授原则上在45周岁及以下；</w:t>
      </w:r>
    </w:p>
    <w:p>
      <w:pPr>
        <w:pStyle w:val="style0"/>
        <w:tabs>
          <w:tab w:val="left" w:leader="none" w:pos="2700"/>
        </w:tabs>
        <w:spacing w:lineRule="exact" w:line="36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3．具备扎实的理论基础、较高的学术水平和科研能力；</w:t>
      </w:r>
    </w:p>
    <w:p>
      <w:pPr>
        <w:pStyle w:val="style0"/>
        <w:tabs>
          <w:tab w:val="left" w:leader="none" w:pos="2700"/>
        </w:tabs>
        <w:spacing w:lineRule="exact" w:line="360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Cs/>
          <w:szCs w:val="21"/>
        </w:rPr>
        <w:t>4．外省市社会人员（非应届生、专业技术职务为中级及以下），须持有上海市居住证一年以上。</w:t>
      </w:r>
    </w:p>
    <w:tbl>
      <w:tblPr>
        <w:tblStyle w:val="style105"/>
        <w:tblW w:w="531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13"/>
        <w:gridCol w:w="966"/>
        <w:gridCol w:w="849"/>
        <w:gridCol w:w="895"/>
        <w:gridCol w:w="1505"/>
        <w:gridCol w:w="2847"/>
      </w:tblGrid>
      <w:tr>
        <w:trPr>
          <w:trHeight w:val="545" w:hRule="atLeast"/>
          <w:tblHeader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学院</w:t>
            </w:r>
          </w:p>
        </w:tc>
        <w:tc>
          <w:tcPr>
            <w:tcW w:w="654" w:type="pct"/>
            <w:vMerge w:val="restar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专业名称</w:t>
            </w:r>
          </w:p>
        </w:tc>
        <w:tc>
          <w:tcPr>
            <w:tcW w:w="1462" w:type="pct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招聘人数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研究方向</w:t>
            </w:r>
          </w:p>
        </w:tc>
        <w:tc>
          <w:tcPr>
            <w:tcW w:w="1536" w:type="pct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其他要求</w:t>
            </w:r>
          </w:p>
        </w:tc>
      </w:tr>
      <w:tr>
        <w:tblPrEx/>
        <w:trPr>
          <w:trHeight w:val="453" w:hRule="atLeast"/>
          <w:tblHeader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教授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napToGrid w:val="false"/>
                <w:kern w:val="0"/>
                <w:szCs w:val="21"/>
              </w:rPr>
              <w:t>副教授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一般</w:t>
            </w:r>
          </w:p>
          <w:p>
            <w:pPr>
              <w:pStyle w:val="style0"/>
              <w:spacing w:lineRule="exact" w:line="300"/>
              <w:jc w:val="center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 w:hint="eastAsia"/>
                <w:b/>
                <w:bCs/>
                <w:szCs w:val="21"/>
              </w:rPr>
              <w:t>教师</w:t>
            </w:r>
          </w:p>
        </w:tc>
        <w:tc>
          <w:tcPr>
            <w:tcW w:w="812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b/>
                <w:bCs/>
                <w:szCs w:val="21"/>
              </w:rPr>
            </w:pPr>
          </w:p>
        </w:tc>
        <w:tc>
          <w:tcPr>
            <w:tcW w:w="1536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b/>
                <w:bCs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宋体" w:cs="宋体" w:hAnsi="宋体"/>
                <w:spacing w:val="-10"/>
                <w:szCs w:val="21"/>
              </w:rPr>
            </w:pPr>
            <w:r>
              <w:rPr>
                <w:rFonts w:ascii="宋体" w:cs="宋体" w:hAnsi="宋体" w:hint="eastAsia"/>
                <w:spacing w:val="-10"/>
                <w:szCs w:val="21"/>
              </w:rPr>
              <w:t xml:space="preserve">商船 </w:t>
            </w:r>
          </w:p>
          <w:p>
            <w:pPr>
              <w:pStyle w:val="style0"/>
              <w:spacing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pacing w:val="-10"/>
                <w:szCs w:val="21"/>
              </w:rPr>
              <w:t>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航海技术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  <w:lang w:val="en-US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cs="宋体" w:eastAsia="宋体" w:hAnsi="宋体" w:hint="eastAsia"/>
                <w:szCs w:val="21"/>
                <w:lang w:eastAsia="zh-CN"/>
              </w:rPr>
            </w:pPr>
            <w:r>
              <w:rPr>
                <w:rFonts w:ascii="宋体" w:cs="宋体" w:hAnsi="宋体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 w:hAnsi="宋体" w:hint="eastAsia"/>
                <w:szCs w:val="21"/>
                <w:highlight w:val="none"/>
                <w:lang w:val="en-US" w:eastAsia="zh-CN"/>
              </w:rPr>
              <w:t xml:space="preserve">交通运输工程（包含载运工具运用工程、交通信息工程及控制、交通运输安全与环境工程等二级学科）及其相关学科，航海类高校毕业生优先 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一般教师：本科为航海技术专业的，博士期间需发表高水平论文2篇及以上；本科为非航海技术专业的，博士期间需发表高水平论文3篇及以上。具有全英语授课能力者优先；具有计算机软件背景者优先；具有6个月以上海外留学经历者优先。</w:t>
            </w:r>
          </w:p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  <w:r>
              <w:rPr>
                <w:rFonts w:ascii="宋体" w:cs="宋体" w:hAnsi="宋体"/>
                <w:szCs w:val="21"/>
              </w:rPr>
              <w:t>.</w:t>
            </w:r>
            <w:r>
              <w:rPr>
                <w:rFonts w:ascii="宋体" w:cs="宋体" w:hAnsi="宋体" w:hint="eastAsia"/>
                <w:szCs w:val="21"/>
              </w:rPr>
              <w:t>船长教师：具</w:t>
            </w:r>
            <w:r>
              <w:rPr>
                <w:rFonts w:ascii="宋体" w:cs="宋体" w:hAnsi="宋体"/>
                <w:szCs w:val="21"/>
              </w:rPr>
              <w:t>有硕士以上学位和一年以上船长任职资历，年龄40周岁以下，具有大型集装箱船、大型散货船或大型液货船服务资历者优先。从业经历特别丰富、优秀的，学历可放宽至大学本科，但年龄不超过35周岁。具有全英语授课能力者优先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轮机工程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  <w:lang w:val="en-US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  <w:lang w:val="en-US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jc w:val="both"/>
              <w:rPr>
                <w:rFonts w:ascii="宋体" w:cs="宋体" w:hAnsi="宋体"/>
                <w:szCs w:val="21"/>
                <w:highlight w:val="none"/>
              </w:rPr>
            </w:pPr>
            <w:r>
              <w:rPr>
                <w:rFonts w:ascii="宋体" w:cs="宋体" w:hAnsi="宋体" w:hint="eastAsia"/>
                <w:szCs w:val="21"/>
                <w:highlight w:val="none"/>
              </w:rPr>
              <w:t>船舶与海洋工程：相关高水平高校毕业生优先</w:t>
            </w:r>
          </w:p>
        </w:tc>
        <w:tc>
          <w:tcPr>
            <w:tcW w:w="1536" w:type="pct"/>
            <w:tcBorders/>
          </w:tcPr>
          <w:p>
            <w:pPr>
              <w:pStyle w:val="style0"/>
              <w:rPr>
                <w:rFonts w:ascii="宋体" w:cs="宋体" w:hAnsi="宋体"/>
                <w:color w:val="ff0000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一般教师：研究方向为船舶与海洋学科相关专业、安全航运保障（船舶腐</w:t>
            </w:r>
            <w:bookmarkStart w:id="0" w:name="_GoBack"/>
            <w:r>
              <w:rPr>
                <w:rFonts w:ascii="宋体" w:cs="宋体" w:hAnsi="宋体" w:hint="eastAsia"/>
                <w:szCs w:val="21"/>
              </w:rPr>
              <w:t>蚀、污损、力学失效检测与运</w:t>
            </w:r>
            <w:bookmarkEnd w:id="0"/>
            <w:r>
              <w:rPr>
                <w:rFonts w:ascii="宋体" w:cs="宋体" w:hAnsi="宋体" w:hint="eastAsia"/>
                <w:szCs w:val="21"/>
              </w:rPr>
              <w:t>维技术）、绿色航运技术（船舶减阻涂装技术、船机维修与再制造技术及船舶腐蚀污损防护技术），有轮机工程背景优先。</w:t>
            </w:r>
          </w:p>
          <w:p>
            <w:pPr>
              <w:pStyle w:val="style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2.</w:t>
            </w:r>
            <w:r>
              <w:rPr>
                <w:rFonts w:ascii="宋体" w:cs="宋体" w:hAnsi="宋体" w:hint="eastAsia"/>
                <w:szCs w:val="21"/>
              </w:rPr>
              <w:t>轮机长教师要求：无限航区，具</w:t>
            </w:r>
            <w:r>
              <w:rPr>
                <w:rFonts w:ascii="宋体" w:cs="宋体" w:hAnsi="宋体"/>
                <w:szCs w:val="21"/>
              </w:rPr>
              <w:t>有硕士以上学位和一年以上</w:t>
            </w:r>
            <w:r>
              <w:rPr>
                <w:rFonts w:ascii="宋体" w:cs="宋体" w:hAnsi="宋体" w:hint="eastAsia"/>
                <w:szCs w:val="21"/>
                <w:lang w:eastAsia="zh-CN"/>
              </w:rPr>
              <w:t>轮机长</w:t>
            </w:r>
            <w:r>
              <w:rPr>
                <w:rFonts w:ascii="宋体" w:cs="宋体" w:hAnsi="宋体"/>
                <w:szCs w:val="21"/>
              </w:rPr>
              <w:t>任职资历，年龄40周岁以下，具有大型集装箱船、大型散货船或大型液货船服务资历者优先。从业经历特别丰富、优秀的，学历可放宽至大学本科，但年龄不超过35周岁。具有全英语授课能力者优先。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船舶电子电气工程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jc w:val="both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电气控制</w:t>
            </w:r>
          </w:p>
        </w:tc>
        <w:tc>
          <w:tcPr>
            <w:tcW w:w="1536" w:type="pct"/>
            <w:tcBorders/>
          </w:tcPr>
          <w:p>
            <w:pPr>
              <w:pStyle w:val="style0"/>
              <w:tabs>
                <w:tab w:val="left" w:leader="none" w:pos="312"/>
              </w:tabs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  <w:r>
              <w:rPr>
                <w:rFonts w:ascii="宋体" w:cs="宋体" w:hAnsi="宋体"/>
                <w:szCs w:val="21"/>
              </w:rPr>
              <w:t>.</w:t>
            </w:r>
            <w:r>
              <w:rPr>
                <w:rFonts w:ascii="宋体" w:cs="宋体" w:hAnsi="宋体" w:hint="eastAsia"/>
                <w:szCs w:val="21"/>
              </w:rPr>
              <w:t>一般教师：有较丰富的实际电气控制经验，学术水平高者优先。</w:t>
            </w:r>
          </w:p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  <w:highlight w:val="yellow"/>
              </w:rPr>
            </w:pPr>
            <w:r>
              <w:rPr>
                <w:rFonts w:ascii="宋体" w:cs="宋体" w:hAnsi="宋体" w:hint="eastAsia"/>
                <w:szCs w:val="21"/>
              </w:rPr>
              <w:t>2.电子电气员教师要求：硕士及以上学位，40周岁以下，实船经验丰富，持有效电子电气员证书。从业经历特别丰富、优秀的，学历可放宽至大学本科，但年龄不超过35周岁。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4101"/>
              <w:keepLines w:val="false"/>
              <w:widowControl w:val="false"/>
              <w:tabs>
                <w:tab w:val="clear" w:pos="-18551"/>
                <w:tab w:val="clear" w:pos="4320"/>
              </w:tabs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mallCaps w:val="false"/>
                <w:spacing w:val="0"/>
                <w:kern w:val="2"/>
                <w:szCs w:val="21"/>
              </w:rPr>
            </w:pPr>
            <w:r>
              <w:rPr>
                <w:rFonts w:ascii="宋体" w:cs="宋体" w:hAnsi="宋体" w:hint="eastAsia"/>
                <w:smallCaps w:val="false"/>
                <w:spacing w:val="0"/>
                <w:kern w:val="2"/>
                <w:szCs w:val="21"/>
              </w:rPr>
              <w:t>能源与动力工程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可再生能源、储能、碳中和、制冷</w:t>
            </w:r>
          </w:p>
        </w:tc>
        <w:tc>
          <w:tcPr>
            <w:tcW w:w="1536" w:type="pct"/>
            <w:tcBorders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具有较强的英语能力；科研能力较强者优先。</w:t>
            </w:r>
          </w:p>
        </w:tc>
      </w:tr>
      <w:tr>
        <w:tblPrEx/>
        <w:trPr>
          <w:cantSplit/>
          <w:trHeight w:val="3402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pacing w:val="-10"/>
                <w:szCs w:val="21"/>
              </w:rPr>
            </w:pPr>
            <w:r>
              <w:rPr>
                <w:rFonts w:ascii="宋体" w:cs="宋体" w:hAnsi="宋体" w:hint="eastAsia"/>
                <w:spacing w:val="-10"/>
                <w:szCs w:val="21"/>
              </w:rPr>
              <w:t>交通运输学院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交通运输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szCs w:val="21"/>
              </w:rPr>
              <w:t>交通运输工程学科中的港口、航运及相关领域研究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1.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具备相关工作经历，擅长运筹优化、仿真、数字孪生、智能算法与控制、区块链、大数据、复杂系统等研究。</w:t>
            </w:r>
          </w:p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2.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交通运输、计算机、人工智能、运筹学、控制等相关学科专业毕业，能够从事智能港航、绿色港航研究，具有较强的科研能力。</w:t>
            </w:r>
          </w:p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3.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能够全英文授课。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pacing w:val="-10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smallCaps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交通管理（航运管理）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szCs w:val="21"/>
              </w:rPr>
              <w:t>交通运输规划与管理（港航</w:t>
            </w:r>
            <w:r>
              <w:rPr>
                <w:rFonts w:ascii="宋体" w:cs="宋体" w:hAnsi="宋体"/>
                <w:color w:val="000000"/>
                <w:szCs w:val="21"/>
              </w:rPr>
              <w:t>方向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1.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具备航运理论与实践经历，具备国际航运及相关领域研究基础。擅长运筹优化、仿真、数字孪生、智能算法与控制、区块链、大数据、复杂系统、航运金融、航运政策等研究。</w:t>
            </w:r>
          </w:p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2.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交通运输、计算机、人工智能、运筹学、控制等相关学科专业毕业，能够从事智能港航、绿色港航研究，具有较强的科研能力。</w:t>
            </w:r>
          </w:p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3.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英语水平较好，能够全英文授课。</w:t>
            </w:r>
          </w:p>
          <w:p>
            <w:pPr>
              <w:pStyle w:val="style0"/>
              <w:spacing w:before="156" w:beforeLines="50" w:after="156" w:afterLines="50"/>
              <w:rPr>
                <w:rFonts w:ascii="宋体" w:cs="宋体" w:hAnsi="宋体"/>
                <w:color w:val="000000"/>
                <w:szCs w:val="21"/>
              </w:rPr>
            </w:pPr>
            <w:r>
              <w:rPr>
                <w:rFonts w:ascii="宋体" w:cs="宋体" w:hAnsi="宋体"/>
                <w:color w:val="000000"/>
                <w:szCs w:val="21"/>
              </w:rPr>
              <w:t>4.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除上述要求外，副教授及以上还需至少主持过一项国家级项目。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pacing w:val="-10"/>
                <w:szCs w:val="21"/>
              </w:rPr>
              <w:t>经济管理学院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经济学(海运与物流经济)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港航物流、能源经济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国际经济与贸易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航运贸易、国际经济与贸易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金融学(海运金融)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航运金融、数字金融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会计学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会计信息系统、财务软件应用、税收学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财务管理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财务数字化、国际投融资、资本市场分析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工商管理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航运科技创新、航运服务管理与创新、航运可持续发展、港航企业大数据营销、战略性人力资源管理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旅游管理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rPr>
                <w:rFonts w:ascii="宋体" w:cs="宋体" w:hAnsi="宋体"/>
                <w:color w:val="ff0000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szCs w:val="21"/>
              </w:rPr>
              <w:t>文旅数字化、海洋旅游、邮轮旅游及相关领域方向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left"/>
              <w:rPr>
                <w:rFonts w:ascii="宋体" w:cs="宋体" w:hAnsi="宋体"/>
                <w:color w:val="000000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大数据管理及应用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color w:val="ff0000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szCs w:val="21"/>
              </w:rPr>
              <w:t>商务大数据及相关领域方向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color w:val="000000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供应链管理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物流和供应链管理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管理科学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航运、物流和交通管理</w:t>
            </w:r>
            <w:r>
              <w:rPr>
                <w:rFonts w:ascii="宋体" w:cs="宋体" w:hAnsi="宋体" w:hint="eastAsia"/>
                <w:color w:val="000000"/>
                <w:szCs w:val="21"/>
              </w:rPr>
              <w:t>及相关领域方向</w:t>
            </w:r>
          </w:p>
        </w:tc>
        <w:tc>
          <w:tcPr>
            <w:tcW w:w="1536" w:type="pct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pacing w:val="-10"/>
                <w:szCs w:val="21"/>
              </w:rPr>
              <w:t>物流工程学院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19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pacing w:val="-10"/>
                <w:szCs w:val="21"/>
              </w:rPr>
              <w:t>机械设计制造及其自动化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机械设计理论、机械设计制造及自动化、机械电子工程、微机电系统、状态监测与故障诊断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9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机械电子工程(物流装备控制与安全)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</w:p>
        </w:tc>
        <w:tc>
          <w:tcPr>
            <w:tcW w:w="1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195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工业工程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95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工业工程、工程管理、物流工程与管理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95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0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物流工程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10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10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rPr>
                <w:rFonts w:ascii="宋体" w:cs="宋体" w:hAnsi="宋体"/>
                <w:szCs w:val="21"/>
              </w:rPr>
            </w:pPr>
          </w:p>
        </w:tc>
        <w:tc>
          <w:tcPr>
            <w:tcW w:w="1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电气工程及其自动化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05"/>
              <w:jc w:val="center"/>
              <w:rPr>
                <w:rFonts w:ascii="宋体" w:cs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cs="宋体" w:hAnsi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05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电力电子与电力传动、电力系统及其自动化、电工理论与新技术、电机与电器、传感检测与控制技术、船舶自动化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tLeast" w:line="105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自动化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cs="宋体" w:hAnsi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812" w:type="pct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</w:p>
        </w:tc>
        <w:tc>
          <w:tcPr>
            <w:tcW w:w="1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测控技术与仪器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cs="宋体" w:hAnsi="宋体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812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</w:p>
        </w:tc>
        <w:tc>
          <w:tcPr>
            <w:tcW w:w="1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pacing w:val="-10"/>
                <w:szCs w:val="21"/>
              </w:rPr>
              <w:t>信息工程学院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计算机科学与技术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计算机系统结构、软件理论</w:t>
            </w:r>
          </w:p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教授：至少主持有一项国家自然科学基金面上项目，至少发表2-3篇高水平科研论文；</w:t>
            </w:r>
          </w:p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2.</w:t>
            </w:r>
            <w:r>
              <w:rPr>
                <w:rFonts w:ascii="宋体" w:cs="宋体" w:hAnsi="宋体" w:hint="eastAsia"/>
                <w:szCs w:val="21"/>
              </w:rPr>
              <w:t>副教授：主持有一项国家自然科学基金项目(包括青年基金项目)，至少发表1-2篇高水平科研论文。</w:t>
            </w:r>
          </w:p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/>
                <w:szCs w:val="21"/>
              </w:rPr>
              <w:t>3.</w:t>
            </w:r>
            <w:r>
              <w:rPr>
                <w:rFonts w:ascii="宋体" w:cs="宋体" w:hAnsi="宋体" w:hint="eastAsia"/>
                <w:szCs w:val="21"/>
              </w:rPr>
              <w:t>教授、副教授都必须有3年以上本科生教学经验，教学效果良好。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信息管理与信息系统（计算机科学与技术-金融学）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75"/>
              <w:jc w:val="center"/>
              <w:rPr>
                <w:rFonts w:ascii="宋体" w:cs="宋体" w:hAnsi="宋体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napToGrid w:val="false"/>
                <w:kern w:val="0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智能信息管理、模式识别、自然语言处理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left"/>
              <w:rPr>
                <w:rFonts w:ascii="宋体" w:cs="宋体" w:hAnsi="宋体"/>
                <w:b/>
                <w:bCs/>
                <w:szCs w:val="21"/>
              </w:rPr>
            </w:pPr>
          </w:p>
        </w:tc>
      </w:tr>
      <w:tr>
        <w:tblPrEx/>
        <w:trPr>
          <w:cantSplit/>
          <w:trHeight w:val="1212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  <w:lang w:val="en-GB"/>
              </w:rPr>
            </w:pPr>
            <w:r>
              <w:rPr>
                <w:rFonts w:ascii="宋体" w:cs="宋体" w:hAnsi="宋体" w:hint="eastAsia"/>
                <w:szCs w:val="21"/>
                <w:lang w:val="en-GB"/>
              </w:rPr>
              <w:t>网络工程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网络安全、无线网络安全、物联网、海洋通讯网络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left"/>
              <w:rPr>
                <w:rFonts w:ascii="宋体" w:cs="宋体" w:hAnsi="宋体"/>
                <w:b/>
                <w:bCs/>
                <w:szCs w:val="21"/>
              </w:rPr>
            </w:pPr>
          </w:p>
        </w:tc>
      </w:tr>
      <w:tr>
        <w:tblPrEx/>
        <w:trPr>
          <w:cantSplit/>
          <w:trHeight w:val="153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  <w:lang w:val="en-GB"/>
              </w:rPr>
            </w:pPr>
            <w:r>
              <w:rPr>
                <w:rFonts w:ascii="宋体" w:cs="宋体" w:hAnsi="宋体" w:hint="eastAsia"/>
                <w:szCs w:val="21"/>
                <w:lang w:val="en-GB"/>
              </w:rPr>
              <w:t>人工智能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大数据、机器学习、机器视觉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教授：至少主持有一项国家自然科学基金面上项目，至少发表2-3篇高水平科研论文。</w:t>
            </w:r>
          </w:p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b/>
                <w:bCs/>
                <w:szCs w:val="21"/>
              </w:rPr>
            </w:pPr>
            <w:r>
              <w:rPr>
                <w:rFonts w:ascii="宋体" w:cs="宋体" w:hAnsi="宋体"/>
                <w:szCs w:val="21"/>
              </w:rPr>
              <w:t>2.</w:t>
            </w:r>
            <w:r>
              <w:rPr>
                <w:rFonts w:ascii="宋体" w:cs="宋体" w:hAnsi="宋体" w:hint="eastAsia"/>
                <w:szCs w:val="21"/>
              </w:rPr>
              <w:t>教授必须有3年以上本科生教学经验，教学效果良好。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电子信息工程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pacing w:val="-12"/>
                <w:szCs w:val="21"/>
              </w:rPr>
            </w:pPr>
            <w:r>
              <w:rPr>
                <w:rFonts w:ascii="宋体" w:cs="宋体" w:hAnsi="宋体" w:hint="eastAsia"/>
                <w:spacing w:val="-12"/>
                <w:szCs w:val="21"/>
              </w:rPr>
              <w:t>3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before="100" w:beforeAutospacing="true" w:after="100" w:afterAutospacing="true"/>
              <w:rPr>
                <w:rFonts w:ascii="宋体" w:cs="宋体" w:hAnsi="宋体"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napToGrid w:val="false"/>
                <w:kern w:val="0"/>
                <w:szCs w:val="21"/>
              </w:rPr>
              <w:t>星地遥感网络、天基物联网，SAR智能识别、网络可靠性、无人艇/水下潜器智能探测、识别、控制、遥感、海洋传感器、信息融合等方向优先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before="100" w:beforeAutospacing="true" w:after="100" w:afterAutospacing="true"/>
              <w:jc w:val="left"/>
              <w:rPr>
                <w:rFonts w:ascii="宋体" w:cs="宋体" w:hAnsi="宋体"/>
                <w:b/>
                <w:bCs/>
                <w:snapToGrid w:val="false"/>
                <w:kern w:val="0"/>
                <w:szCs w:val="21"/>
              </w:rPr>
            </w:pPr>
            <w:r>
              <w:rPr>
                <w:rFonts w:ascii="宋体" w:cs="宋体" w:hAnsi="宋体" w:hint="eastAsia"/>
                <w:snapToGrid w:val="false"/>
                <w:kern w:val="0"/>
                <w:szCs w:val="21"/>
              </w:rPr>
              <w:t>有实践单位工作、合作经历优先；在上述优先方向顶刊发表论文。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通信工程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3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星地网络、天基物联网、5G/6G最新技术、网络通信安全、无线传感器网络、MEC、海洋通信等方向优先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教授：至少主持有一项国家自然科学基金面上项目，至少发表2-3篇高水平科研论文。</w:t>
            </w:r>
          </w:p>
          <w:p>
            <w:pPr>
              <w:pStyle w:val="style0"/>
              <w:adjustRightInd w:val="false"/>
              <w:snapToGrid w:val="false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2.</w:t>
            </w:r>
            <w:r>
              <w:rPr>
                <w:rFonts w:ascii="宋体" w:cs="宋体" w:hAnsi="宋体" w:hint="eastAsia"/>
                <w:szCs w:val="21"/>
              </w:rPr>
              <w:t>有实践单位工作、合作经历优先；在上述优先方向顶刊发表论文。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spacing w:val="-10"/>
                <w:szCs w:val="21"/>
              </w:rPr>
              <w:t>海洋科学与工程学院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环境工程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环境科学与工程、环境生态学、环境功能材料等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可围绕船舶与港口污染防治与资源化等开展教学和科研工作；</w:t>
            </w:r>
          </w:p>
          <w:p>
            <w:pPr>
              <w:pStyle w:val="style0"/>
              <w:spacing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2.具备扎实的理论基础、较高的学术水平和科研能力；有主持过省部级及以上项目经历者优先，有海外经历者优先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安全工程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安全、消防、控制工程、船海和信息(智能技术)等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可围绕船舶/港口/海工安全防护与应急防控、智慧安全和系统安全工程等方向开展教学和科研工作。</w:t>
            </w:r>
          </w:p>
          <w:p>
            <w:pPr>
              <w:pStyle w:val="style0"/>
              <w:spacing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2.具备扎实的理论基础、较高的学术水平和科研能力；年龄不超过35周岁。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4101"/>
              <w:keepLines w:val="false"/>
              <w:widowControl w:val="false"/>
              <w:tabs>
                <w:tab w:val="clear" w:pos="-18551"/>
                <w:tab w:val="clear" w:pos="4320"/>
              </w:tabs>
              <w:spacing w:lineRule="auto" w:line="240"/>
              <w:rPr>
                <w:rFonts w:ascii="宋体" w:cs="宋体" w:hAnsi="宋体"/>
                <w:smallCaps w:val="false"/>
                <w:spacing w:val="0"/>
                <w:kern w:val="2"/>
                <w:szCs w:val="21"/>
              </w:rPr>
            </w:pPr>
            <w:r>
              <w:rPr>
                <w:rFonts w:ascii="宋体" w:cs="宋体" w:hAnsi="宋体" w:hint="eastAsia"/>
                <w:smallCaps w:val="false"/>
                <w:spacing w:val="0"/>
                <w:kern w:val="2"/>
                <w:szCs w:val="21"/>
              </w:rPr>
              <w:t>法学院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4102"/>
              <w:spacing w:before="100" w:after="100" w:lineRule="exact" w:line="300"/>
              <w:jc w:val="left"/>
              <w:rPr>
                <w:rFonts w:ascii="宋体" w:cs="宋体" w:eastAsia="宋体" w:hAnsi="宋体"/>
                <w:lang w:val="zh-TW" w:eastAsia="zh-TW"/>
              </w:rPr>
            </w:pPr>
            <w:r>
              <w:rPr>
                <w:rFonts w:ascii="宋体" w:cs="宋体" w:eastAsia="宋体" w:hAnsi="宋体" w:hint="eastAsia"/>
                <w:lang w:val="zh-TW" w:eastAsia="zh-TW"/>
              </w:rPr>
              <w:t>公法（含法理学、宪法与行政法、刑法、诉讼法等）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4102"/>
              <w:spacing w:lineRule="exact" w:line="240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  <w:lang w:val="zh-TW" w:eastAsia="zh-TW"/>
              </w:rPr>
              <w:t>刑事诉讼法、刑法优先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4102"/>
              <w:spacing w:lineRule="exact" w:line="240"/>
              <w:jc w:val="left"/>
              <w:rPr>
                <w:rFonts w:ascii="宋体" w:cs="宋体" w:eastAsia="宋体" w:hAnsi="宋体"/>
                <w:lang w:val="zh-TW" w:eastAsia="zh-TW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4101"/>
              <w:keepLines w:val="false"/>
              <w:widowControl w:val="false"/>
              <w:tabs>
                <w:tab w:val="clear" w:pos="-18551"/>
                <w:tab w:val="clear" w:pos="4320"/>
              </w:tabs>
              <w:spacing w:lineRule="auto" w:line="240"/>
              <w:rPr>
                <w:rFonts w:ascii="宋体" w:cs="宋体" w:hAnsi="宋体"/>
                <w:smallCaps w:val="false"/>
                <w:spacing w:val="0"/>
                <w:kern w:val="2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4102"/>
              <w:spacing w:before="100" w:after="100" w:lineRule="exact" w:line="300"/>
              <w:jc w:val="left"/>
              <w:rPr>
                <w:rFonts w:ascii="宋体" w:cs="宋体" w:eastAsia="宋体" w:hAnsi="宋体"/>
                <w:lang w:val="zh-TW" w:eastAsia="zh-TW"/>
              </w:rPr>
            </w:pPr>
            <w:r>
              <w:rPr>
                <w:rFonts w:ascii="宋体" w:cs="宋体" w:eastAsia="宋体" w:hAnsi="宋体" w:hint="eastAsia"/>
                <w:lang w:val="zh-TW" w:eastAsia="zh-TW"/>
              </w:rPr>
              <w:t>经济法（含环境与资源保护法）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4102"/>
              <w:spacing w:lineRule="exact" w:line="240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  <w:lang w:val="zh-TW" w:eastAsia="zh-TW"/>
              </w:rPr>
              <w:t>海洋环境保护法优先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4102"/>
              <w:spacing w:lineRule="exact" w:line="240"/>
              <w:jc w:val="left"/>
              <w:rPr>
                <w:rFonts w:ascii="宋体" w:cs="宋体" w:eastAsia="宋体" w:hAnsi="宋体"/>
                <w:lang w:val="zh-TW" w:eastAsia="zh-TW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4101"/>
              <w:keepLines w:val="false"/>
              <w:widowControl w:val="false"/>
              <w:tabs>
                <w:tab w:val="clear" w:pos="-18551"/>
                <w:tab w:val="clear" w:pos="4320"/>
              </w:tabs>
              <w:spacing w:lineRule="auto" w:line="240"/>
              <w:rPr>
                <w:rFonts w:ascii="宋体" w:cs="宋体" w:hAnsi="宋体"/>
                <w:smallCaps w:val="false"/>
                <w:spacing w:val="0"/>
                <w:kern w:val="2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4102"/>
              <w:spacing w:before="100" w:after="100" w:lineRule="exact" w:line="300"/>
              <w:jc w:val="left"/>
              <w:rPr>
                <w:rFonts w:ascii="宋体" w:cs="宋体" w:eastAsia="宋体" w:hAnsi="宋体"/>
                <w:lang w:val="zh-TW" w:eastAsia="zh-TW"/>
              </w:rPr>
            </w:pPr>
            <w:r>
              <w:rPr>
                <w:rFonts w:ascii="宋体" w:cs="宋体" w:eastAsia="宋体" w:hAnsi="宋体" w:hint="eastAsia"/>
                <w:lang w:val="zh-TW" w:eastAsia="zh-TW"/>
              </w:rPr>
              <w:t>国际法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宋体" w:cs="宋体" w:eastAsia="宋体" w:hAnsi="宋体"/>
              </w:rPr>
            </w:pPr>
            <w:r>
              <w:rPr>
                <w:rFonts w:ascii="SimSong Bold" w:hAnsi="SimSong Bold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4102"/>
              <w:spacing w:lineRule="exact" w:line="240"/>
              <w:rPr>
                <w:rFonts w:ascii="宋体" w:cs="宋体" w:eastAsia="宋体" w:hAnsi="宋体"/>
              </w:rPr>
            </w:pPr>
            <w:r>
              <w:rPr>
                <w:rFonts w:ascii="宋体" w:cs="宋体" w:eastAsia="宋体" w:hAnsi="宋体" w:hint="eastAsia"/>
                <w:lang w:val="zh-TW" w:eastAsia="zh-TW"/>
              </w:rPr>
              <w:t>国际经济法优先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4102"/>
              <w:spacing w:lineRule="exact" w:line="240"/>
              <w:jc w:val="left"/>
              <w:rPr>
                <w:rFonts w:ascii="宋体" w:cs="宋体" w:eastAsia="宋体" w:hAnsi="宋体"/>
                <w:lang w:val="zh-TW" w:eastAsia="zh-TW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4101"/>
              <w:keepLines w:val="false"/>
              <w:widowControl w:val="false"/>
              <w:tabs>
                <w:tab w:val="clear" w:pos="-18551"/>
                <w:tab w:val="clear" w:pos="4320"/>
              </w:tabs>
              <w:spacing w:lineRule="auto" w:line="240"/>
              <w:rPr>
                <w:rFonts w:ascii="宋体" w:cs="宋体" w:hAnsi="宋体"/>
                <w:smallCaps w:val="false"/>
                <w:spacing w:val="0"/>
                <w:kern w:val="2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4102"/>
              <w:spacing w:before="100" w:after="100" w:lineRule="exact" w:line="300"/>
              <w:jc w:val="left"/>
              <w:rPr>
                <w:lang w:val="zh-TW" w:eastAsia="zh-TW"/>
              </w:rPr>
            </w:pPr>
            <w:r>
              <w:rPr>
                <w:rFonts w:ascii="宋体" w:cs="宋体" w:eastAsia="宋体" w:hAnsi="宋体" w:hint="eastAsia"/>
                <w:lang w:val="zh-TW" w:eastAsia="zh-TW"/>
              </w:rPr>
              <w:t>海商法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SimSong Bold" w:hAnsi="SimSong Bold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SimSong Bold" w:hAnsi="SimSong Bold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4102"/>
              <w:spacing w:before="100" w:after="100" w:lineRule="atLeast" w:line="150"/>
              <w:jc w:val="center"/>
              <w:rPr>
                <w:rFonts w:ascii="SimSong Bold" w:eastAsia="宋体" w:hAnsi="SimSong Bold"/>
              </w:rPr>
            </w:pPr>
            <w:r>
              <w:rPr>
                <w:rFonts w:ascii="SimSong Bold" w:eastAsia="宋体" w:hAnsi="SimSong Bold" w:hint="eastAsia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4102"/>
              <w:spacing w:lineRule="exact" w:line="240"/>
              <w:rPr>
                <w:rFonts w:ascii="宋体" w:cs="宋体" w:eastAsia="宋体" w:hAnsi="宋体"/>
                <w:lang w:val="zh-TW" w:eastAsia="zh-TW"/>
              </w:rPr>
            </w:pPr>
          </w:p>
        </w:tc>
        <w:tc>
          <w:tcPr>
            <w:tcW w:w="1536" w:type="pct"/>
            <w:tcBorders/>
            <w:vAlign w:val="center"/>
          </w:tcPr>
          <w:p>
            <w:pPr>
              <w:pStyle w:val="style4102"/>
              <w:spacing w:lineRule="exact" w:line="240"/>
              <w:jc w:val="left"/>
              <w:rPr>
                <w:rFonts w:ascii="宋体" w:cs="宋体" w:eastAsia="宋体" w:hAnsi="宋体"/>
                <w:lang w:val="zh-TW" w:eastAsia="zh-TW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外国语学院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英语(航运)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计算、计量语言学、二语习得、语言测试、话语分析、ESP方向、语言政策、国别区域、比较文学方向优先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教授：应在近5年主持或完成国家级课题一项、发表高水平论文若干；</w:t>
            </w:r>
          </w:p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2.</w:t>
            </w:r>
            <w:r>
              <w:rPr>
                <w:rFonts w:ascii="宋体" w:cs="宋体" w:hAnsi="宋体" w:hint="eastAsia"/>
                <w:szCs w:val="21"/>
              </w:rPr>
              <w:t>一般教师：应有相应科研基础。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翻译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基于语料库的翻译研究、翻译技术、翻译认知方向优先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一般教师：应有相应科研基础。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商务英语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计算、计量语言学、国别区域、二语习得、语言测试、话语分析、ESP方向、语言政策、比较文学方向优先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副教授：应在近五年主持或完成省部级以上课题一项、发表高水平论文若干。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日语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计算、计量语言学、国别区域研究方向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教授：应在近5年主持或完成国家级课题一项、发表高水平论文若干；</w:t>
            </w:r>
          </w:p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2.</w:t>
            </w:r>
            <w:r>
              <w:rPr>
                <w:rFonts w:ascii="宋体" w:cs="宋体" w:hAnsi="宋体" w:hint="eastAsia"/>
                <w:szCs w:val="21"/>
              </w:rPr>
              <w:t>一般教师：应有相应科研基础。</w:t>
            </w:r>
          </w:p>
        </w:tc>
      </w:tr>
      <w:tr>
        <w:tblPrEx/>
        <w:trPr>
          <w:cantSplit/>
          <w:trHeight w:val="137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法语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计算、计量语言学、国别区域研究方向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1.</w:t>
            </w:r>
            <w:r>
              <w:rPr>
                <w:rFonts w:ascii="宋体" w:cs="宋体" w:hAnsi="宋体" w:hint="eastAsia"/>
                <w:szCs w:val="21"/>
              </w:rPr>
              <w:t>副教授：应在近五年主持或完成省部级以上课题一项、发表高水平论文若干；</w:t>
            </w:r>
          </w:p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2.</w:t>
            </w:r>
            <w:r>
              <w:rPr>
                <w:rFonts w:ascii="宋体" w:cs="宋体" w:hAnsi="宋体" w:hint="eastAsia"/>
                <w:szCs w:val="21"/>
              </w:rPr>
              <w:t>一般教师：应有相应科研基础。</w:t>
            </w:r>
          </w:p>
        </w:tc>
      </w:tr>
      <w:tr>
        <w:tblPrEx/>
        <w:trPr>
          <w:cantSplit/>
          <w:trHeight w:val="1067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理学院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lineRule="exact" w:line="24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信息与计算科学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计算数学方向，有港航、物流、海洋背景优先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lineRule="exact" w:line="24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数学与应用数学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基础数学、应用数学、概率论与数理统计、运筹学与控制论方向，其中从事统计、优化、智能算法等研究优先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马克思主义学院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马克思主义理论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 xml:space="preserve"> 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马克思主义理论一级学科各主要方向，或相关专业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2283" w:hRule="atLeast"/>
        </w:trPr>
        <w:tc>
          <w:tcPr>
            <w:tcW w:w="534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pacing w:val="-6"/>
                <w:szCs w:val="21"/>
              </w:rPr>
            </w:pPr>
            <w:r>
              <w:rPr>
                <w:rFonts w:ascii="宋体" w:cs="宋体" w:hAnsi="宋体" w:hint="eastAsia"/>
                <w:spacing w:val="-6"/>
                <w:szCs w:val="21"/>
              </w:rPr>
              <w:t>体育教学部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lineRule="exact" w:line="24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体育学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5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 w:hint="eastAsia"/>
                <w:szCs w:val="21"/>
                <w:highlight w:val="none"/>
              </w:rPr>
            </w:pPr>
            <w:r>
              <w:rPr>
                <w:rFonts w:ascii="宋体" w:cs="宋体" w:hAnsi="宋体" w:hint="eastAsia"/>
                <w:szCs w:val="21"/>
                <w:highlight w:val="none"/>
              </w:rPr>
              <w:t>1．副教授：具有博士学位；</w:t>
            </w:r>
          </w:p>
          <w:p>
            <w:pPr>
              <w:pStyle w:val="style0"/>
              <w:spacing w:lineRule="exact" w:line="240"/>
              <w:rPr>
                <w:rFonts w:ascii="宋体" w:cs="宋体" w:hAnsi="宋体" w:hint="eastAsia"/>
                <w:szCs w:val="21"/>
                <w:highlight w:val="none"/>
              </w:rPr>
            </w:pPr>
            <w:r>
              <w:rPr>
                <w:rFonts w:ascii="宋体" w:cs="宋体" w:hAnsi="宋体" w:hint="eastAsia"/>
                <w:szCs w:val="21"/>
                <w:highlight w:val="none"/>
              </w:rPr>
              <w:t>2．一般教师：具有博士学位或具有硕士学位（获得国家一级运动员及以上、集体项目获得全国比赛前八名的主力队员）</w:t>
            </w:r>
          </w:p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  <w:highlight w:val="none"/>
              </w:rPr>
            </w:pPr>
            <w:r>
              <w:rPr>
                <w:rFonts w:ascii="宋体" w:cs="宋体" w:hAnsi="宋体" w:hint="eastAsia"/>
                <w:szCs w:val="21"/>
                <w:highlight w:val="none"/>
              </w:rPr>
              <w:t>3. 水上运动项目的优先考虑。</w:t>
            </w:r>
          </w:p>
        </w:tc>
      </w:tr>
      <w:tr>
        <w:tblPrEx/>
        <w:trPr>
          <w:cantSplit/>
          <w:trHeight w:val="814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pacing w:val="-6"/>
                <w:szCs w:val="21"/>
              </w:rPr>
              <w:t>徐悲鸿艺术学院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lineRule="atLeast" w:line="19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工业设计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  <w:highlight w:val="none"/>
              </w:rPr>
            </w:pPr>
            <w:r>
              <w:rPr>
                <w:rFonts w:ascii="宋体" w:cs="宋体" w:hAnsi="宋体" w:hint="eastAsia"/>
                <w:szCs w:val="21"/>
                <w:highlight w:val="none"/>
              </w:rPr>
              <w:t>设计学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邮轮游艇设计方向优先</w:t>
            </w:r>
          </w:p>
        </w:tc>
      </w:tr>
      <w:tr>
        <w:tblPrEx/>
        <w:trPr>
          <w:cantSplit/>
          <w:trHeight w:val="876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  <w:highlight w:val="yellow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lineRule="atLeast" w:line="19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艺术教研室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1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书法或绘画等艺术相关专业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atLeast" w:line="19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有高校相关教学经历、经验优先</w:t>
            </w: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restar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  <w:highlight w:val="yellow"/>
              </w:rPr>
            </w:pPr>
            <w:r>
              <w:rPr>
                <w:rFonts w:ascii="宋体" w:cs="宋体" w:hAnsi="宋体" w:hint="eastAsia"/>
                <w:szCs w:val="21"/>
              </w:rPr>
              <w:t>物流科学与工程研究院</w:t>
            </w: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lineRule="exact" w:line="240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管理科学与工程（物流管理与工程）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lineRule="exact" w:line="24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智慧物流、港航物流；管理、物流、交通、信息（智能技术）等相关专业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spacing w:lineRule="atLeast" w:line="195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534" w:type="pct"/>
            <w:vMerge w:val="continue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654" w:type="pct"/>
            <w:tcBorders/>
            <w:vAlign w:val="center"/>
          </w:tcPr>
          <w:p>
            <w:pPr>
              <w:pStyle w:val="style0"/>
              <w:spacing w:lineRule="atLeast" w:line="195"/>
              <w:jc w:val="lef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控制科学与工程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2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智能船舶、无人系统、智能控制系统、模式识别与智能系统等相关专业</w:t>
            </w: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szCs w:val="21"/>
              </w:rPr>
            </w:pPr>
          </w:p>
        </w:tc>
      </w:tr>
      <w:tr>
        <w:tblPrEx/>
        <w:trPr>
          <w:cantSplit/>
          <w:trHeight w:val="624" w:hRule="atLeast"/>
        </w:trPr>
        <w:tc>
          <w:tcPr>
            <w:tcW w:w="1189" w:type="pct"/>
            <w:gridSpan w:val="2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hAnsi="宋体" w:hint="default"/>
                <w:szCs w:val="21"/>
                <w:lang w:val="en-US"/>
              </w:rPr>
            </w:pPr>
            <w:r>
              <w:rPr>
                <w:rFonts w:ascii="宋体" w:cs="宋体" w:hAnsi="宋体" w:hint="eastAsia"/>
                <w:szCs w:val="21"/>
                <w:lang w:val="en-US" w:eastAsia="zh-CN"/>
              </w:rPr>
              <w:t>合计</w:t>
            </w:r>
          </w:p>
        </w:tc>
        <w:tc>
          <w:tcPr>
            <w:tcW w:w="521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Cs w:val="21"/>
                <w:lang w:val="en-US" w:eastAsia="zh-CN"/>
              </w:rPr>
              <w:t>17</w:t>
            </w:r>
          </w:p>
        </w:tc>
        <w:tc>
          <w:tcPr>
            <w:tcW w:w="458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Cs w:val="21"/>
                <w:lang w:val="en-US" w:eastAsia="zh-CN"/>
              </w:rPr>
              <w:t>14</w:t>
            </w:r>
          </w:p>
        </w:tc>
        <w:tc>
          <w:tcPr>
            <w:tcW w:w="482" w:type="pct"/>
            <w:tcBorders/>
            <w:vAlign w:val="center"/>
          </w:tcPr>
          <w:p>
            <w:pPr>
              <w:pStyle w:val="style0"/>
              <w:spacing w:lineRule="atLeast" w:line="195"/>
              <w:jc w:val="center"/>
              <w:rPr>
                <w:rFonts w:ascii="宋体" w:cs="宋体" w:eastAsia="宋体" w:hAnsi="宋体" w:hint="default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szCs w:val="21"/>
                <w:lang w:val="en-US" w:eastAsia="zh-CN"/>
              </w:rPr>
              <w:t>73</w:t>
            </w:r>
          </w:p>
        </w:tc>
        <w:tc>
          <w:tcPr>
            <w:tcW w:w="812" w:type="pct"/>
            <w:tcBorders/>
            <w:vAlign w:val="center"/>
          </w:tcPr>
          <w:p>
            <w:pPr>
              <w:pStyle w:val="style0"/>
              <w:spacing w:before="100" w:beforeAutospacing="true" w:after="100" w:afterAutospacing="true" w:lineRule="exact" w:line="300"/>
              <w:rPr>
                <w:rFonts w:ascii="宋体" w:cs="宋体" w:hAnsi="宋体" w:hint="eastAsia"/>
                <w:szCs w:val="21"/>
              </w:rPr>
            </w:pPr>
          </w:p>
        </w:tc>
        <w:tc>
          <w:tcPr>
            <w:tcW w:w="1536" w:type="pct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szCs w:val="21"/>
              </w:rPr>
            </w:pPr>
          </w:p>
        </w:tc>
      </w:tr>
    </w:tbl>
    <w:p>
      <w:pPr>
        <w:pStyle w:val="style0"/>
        <w:widowControl/>
        <w:jc w:val="left"/>
        <w:rPr>
          <w:rFonts w:ascii="宋体" w:hAnsi="宋体"/>
          <w:color w:val="ff0000"/>
          <w:sz w:val="28"/>
          <w:szCs w:val="18"/>
        </w:rPr>
      </w:pPr>
    </w:p>
    <w:sectPr>
      <w:pgSz w:w="11906" w:h="16838" w:orient="portrait"/>
      <w:pgMar w:top="1588" w:right="1701" w:bottom="158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Garamond">
    <w:altName w:val="ksdb"/>
    <w:panose1 w:val="02020404030003010803"/>
    <w:charset w:val="00"/>
    <w:family w:val="roman"/>
    <w:pitch w:val="default"/>
    <w:sig w:usb0="00000000" w:usb1="00000000" w:usb2="00000000" w:usb3="00000000" w:csb0="0000009F" w:csb1="DFD70000"/>
  </w:font>
  <w:font w:name="Arial Unicode MS">
    <w:altName w:val="宋体"/>
    <w:panose1 w:val="020b0604020002020204"/>
    <w:charset w:val="86"/>
    <w:family w:val="swiss"/>
    <w:pitch w:val="default"/>
    <w:sig w:usb0="00000000" w:usb1="00000000" w:usb2="00000000" w:usb3="00000000" w:csb0="003E0000" w:csb1="00000000"/>
  </w:font>
  <w:font w:name="SimSong Bold">
    <w:altName w:val="宋体"/>
    <w:panose1 w:val="02020300000000000000"/>
    <w:charset w:val="86"/>
    <w:family w:val="roman"/>
    <w:pitch w:val="default"/>
    <w:sig w:usb0="00000000" w:usb1="00000000" w:usb2="00000000" w:usb3="00000000" w:csb0="00160000" w:csb1="00000000"/>
  </w:font>
  <w:font w:name="ksdb">
    <w:altName w:val="ksdb"/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104"/>
    <w:qFormat/>
    <w:uiPriority w:val="99"/>
    <w:pPr>
      <w:jc w:val="left"/>
    </w:pPr>
    <w:rPr/>
  </w:style>
  <w:style w:type="paragraph" w:styleId="style66">
    <w:name w:val="Body Text"/>
    <w:basedOn w:val="style0"/>
    <w:next w:val="style66"/>
    <w:link w:val="style4097"/>
    <w:qFormat/>
    <w:uiPriority w:val="0"/>
    <w:pPr>
      <w:spacing w:after="120"/>
    </w:pPr>
    <w:rPr/>
  </w:style>
  <w:style w:type="paragraph" w:styleId="style153">
    <w:name w:val="Balloon Text"/>
    <w:basedOn w:val="style0"/>
    <w:next w:val="style153"/>
    <w:link w:val="style4098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0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paragraph" w:styleId="style106">
    <w:name w:val="annotation subject"/>
    <w:basedOn w:val="style30"/>
    <w:next w:val="style30"/>
    <w:link w:val="style4105"/>
    <w:qFormat/>
    <w:uiPriority w:val="99"/>
    <w:pPr/>
    <w:rPr>
      <w:b/>
      <w:bCs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next w:val="style85"/>
    <w:qFormat/>
    <w:uiPriority w:val="0"/>
    <w:rPr>
      <w:color w:val="0000ff"/>
      <w:u w:val="single"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正文文本 字符"/>
    <w:next w:val="style4097"/>
    <w:link w:val="style66"/>
    <w:qFormat/>
    <w:uiPriority w:val="0"/>
    <w:rPr>
      <w:kern w:val="2"/>
      <w:sz w:val="21"/>
      <w:szCs w:val="24"/>
    </w:rPr>
  </w:style>
  <w:style w:type="character" w:customStyle="1" w:styleId="style4098">
    <w:name w:val="批注框文本 字符"/>
    <w:next w:val="style4098"/>
    <w:link w:val="style153"/>
    <w:qFormat/>
    <w:uiPriority w:val="0"/>
    <w:rPr>
      <w:kern w:val="2"/>
      <w:sz w:val="18"/>
      <w:szCs w:val="18"/>
    </w:rPr>
  </w:style>
  <w:style w:type="character" w:customStyle="1" w:styleId="style4099">
    <w:name w:val="页脚 字符"/>
    <w:next w:val="style4099"/>
    <w:link w:val="style32"/>
    <w:qFormat/>
    <w:uiPriority w:val="0"/>
    <w:rPr>
      <w:kern w:val="2"/>
      <w:sz w:val="18"/>
      <w:szCs w:val="18"/>
    </w:rPr>
  </w:style>
  <w:style w:type="character" w:customStyle="1" w:styleId="style4100">
    <w:name w:val="页眉 字符"/>
    <w:next w:val="style4100"/>
    <w:link w:val="style31"/>
    <w:qFormat/>
    <w:uiPriority w:val="0"/>
    <w:rPr>
      <w:kern w:val="2"/>
      <w:sz w:val="18"/>
      <w:szCs w:val="18"/>
    </w:rPr>
  </w:style>
  <w:style w:type="paragraph" w:customStyle="1" w:styleId="style4101">
    <w:name w:val="基准页眉样式"/>
    <w:basedOn w:val="style66"/>
    <w:next w:val="style4101"/>
    <w:qFormat/>
    <w:uiPriority w:val="0"/>
    <w:pPr>
      <w:keepLines/>
      <w:widowControl/>
      <w:tabs>
        <w:tab w:val="center" w:leader="none" w:pos="-18551"/>
        <w:tab w:val="right" w:leader="none" w:pos="4320"/>
      </w:tabs>
      <w:spacing w:after="0" w:lineRule="atLeast" w:line="240"/>
      <w:jc w:val="center"/>
    </w:pPr>
    <w:rPr>
      <w:rFonts w:ascii="Garamond" w:hAnsi="Garamond"/>
      <w:smallCaps/>
      <w:spacing w:val="15"/>
      <w:kern w:val="0"/>
      <w:szCs w:val="20"/>
    </w:rPr>
  </w:style>
  <w:style w:type="paragraph" w:customStyle="1" w:styleId="style4102">
    <w:name w:val="正文 A"/>
    <w:next w:val="style4102"/>
    <w:qFormat/>
    <w:uiPriority w:val="0"/>
    <w:pPr>
      <w:widowControl w:val="false"/>
      <w:jc w:val="both"/>
    </w:pPr>
    <w:rPr>
      <w:rFonts w:ascii="Times New Roman" w:cs="Arial Unicode MS" w:eastAsia="Arial Unicode MS" w:hAnsi="Times New Roman"/>
      <w:color w:val="000000"/>
      <w:kern w:val="2"/>
      <w:sz w:val="21"/>
      <w:szCs w:val="21"/>
      <w:u w:color="000000"/>
      <w:lang w:val="en-US" w:bidi="ar-SA" w:eastAsia="zh-CN"/>
    </w:rPr>
  </w:style>
  <w:style w:type="table" w:customStyle="1" w:styleId="style4103">
    <w:name w:val="Table Normal"/>
    <w:next w:val="style4103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104">
    <w:name w:val="批注文字 字符"/>
    <w:basedOn w:val="style65"/>
    <w:next w:val="style4104"/>
    <w:link w:val="style30"/>
    <w:qFormat/>
    <w:uiPriority w:val="99"/>
    <w:rPr>
      <w:kern w:val="2"/>
      <w:sz w:val="21"/>
      <w:szCs w:val="24"/>
    </w:rPr>
  </w:style>
  <w:style w:type="character" w:customStyle="1" w:styleId="style4105">
    <w:name w:val="批注主题 字符"/>
    <w:basedOn w:val="style4104"/>
    <w:next w:val="style4105"/>
    <w:link w:val="style106"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Words>3266</Words>
  <Pages>9</Pages>
  <Characters>3333</Characters>
  <Application>WPS Office</Application>
  <DocSecurity>0</DocSecurity>
  <Paragraphs>434</Paragraphs>
  <ScaleCrop>false</ScaleCrop>
  <Company>Microsoft</Company>
  <LinksUpToDate>false</LinksUpToDate>
  <CharactersWithSpaces>3338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2024-01-15T09:07:00Z</dcterms:created>
  <dc:creator>founder</dc:creator>
  <lastModifiedBy>ANA-AN00</lastModifiedBy>
  <lastPrinted>2015-11-11T11:10:00Z</lastPrinted>
  <dcterms:modified xsi:type="dcterms:W3CDTF">2024-01-31T14:56:14Z</dcterms:modified>
  <revision>8</revision>
  <dc:title>上海海事大学 年度招聘人员计划表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FB1DE08131F8EFDACFCBAB6563C6DEF3</vt:lpwstr>
  </property>
</Properties>
</file>